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69" w:rsidRDefault="005D5F69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5F69" w:rsidRPr="004630B8" w:rsidRDefault="005D5F69" w:rsidP="005D5F69">
      <w:pPr>
        <w:jc w:val="center"/>
        <w:rPr>
          <w:rFonts w:ascii="Times New Roman" w:hAnsi="Times New Roman"/>
          <w:b/>
        </w:rPr>
      </w:pPr>
      <w:r w:rsidRPr="004630B8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5D5F69" w:rsidRPr="004630B8" w:rsidRDefault="005D5F69" w:rsidP="005D5F69">
      <w:pPr>
        <w:jc w:val="center"/>
        <w:rPr>
          <w:rFonts w:ascii="Times New Roman" w:hAnsi="Times New Roman"/>
          <w:b/>
        </w:rPr>
      </w:pPr>
      <w:r w:rsidRPr="004630B8">
        <w:rPr>
          <w:rFonts w:ascii="Times New Roman" w:hAnsi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/>
          <w:b/>
        </w:rPr>
        <w:t>с</w:t>
      </w:r>
      <w:proofErr w:type="gramEnd"/>
      <w:r w:rsidRPr="004630B8">
        <w:rPr>
          <w:rFonts w:ascii="Times New Roman" w:hAnsi="Times New Roman"/>
          <w:b/>
        </w:rPr>
        <w:t>. МАЛИНОВКА</w:t>
      </w:r>
    </w:p>
    <w:p w:rsidR="005D5F69" w:rsidRDefault="005D5F69" w:rsidP="005D5F69"/>
    <w:tbl>
      <w:tblPr>
        <w:tblStyle w:val="a6"/>
        <w:tblpPr w:leftFromText="180" w:rightFromText="180" w:vertAnchor="text" w:horzAnchor="margin" w:tblpXSpec="center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5D5F69" w:rsidRPr="004630B8" w:rsidTr="005D5F69">
        <w:tc>
          <w:tcPr>
            <w:tcW w:w="3190" w:type="dxa"/>
          </w:tcPr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proofErr w:type="gramStart"/>
            <w:r w:rsidRPr="00BD63C1">
              <w:rPr>
                <w:rFonts w:ascii="Times New Roman" w:hAnsi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/>
              </w:rPr>
              <w:t xml:space="preserve"> на ШМО учителей</w:t>
            </w:r>
          </w:p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r w:rsidRPr="00BD63C1">
              <w:rPr>
                <w:rFonts w:ascii="Times New Roman" w:hAnsi="Times New Roman"/>
              </w:rPr>
              <w:t xml:space="preserve">____________ И.Г. Иванова </w:t>
            </w:r>
          </w:p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r w:rsidRPr="00BD63C1">
              <w:rPr>
                <w:rFonts w:ascii="Times New Roman" w:hAnsi="Times New Roman"/>
              </w:rPr>
              <w:t>Протокол № 2 от 31.08.2020г.</w:t>
            </w:r>
          </w:p>
        </w:tc>
        <w:tc>
          <w:tcPr>
            <w:tcW w:w="3014" w:type="dxa"/>
          </w:tcPr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r w:rsidRPr="00BD63C1">
              <w:rPr>
                <w:rFonts w:ascii="Times New Roman" w:hAnsi="Times New Roman"/>
              </w:rPr>
              <w:t>Согласовано</w:t>
            </w:r>
          </w:p>
          <w:p w:rsidR="005D5F69" w:rsidRPr="00BD63C1" w:rsidRDefault="005D5F69" w:rsidP="005D5F69">
            <w:pPr>
              <w:jc w:val="center"/>
              <w:rPr>
                <w:rFonts w:ascii="Times New Roman" w:hAnsi="Times New Roman"/>
              </w:rPr>
            </w:pPr>
          </w:p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r w:rsidRPr="00BD63C1">
              <w:rPr>
                <w:rFonts w:ascii="Times New Roman" w:hAnsi="Times New Roman"/>
              </w:rPr>
              <w:t>_____________ И.Г. Иванова</w:t>
            </w:r>
          </w:p>
          <w:p w:rsidR="005D5F69" w:rsidRPr="00BD63C1" w:rsidRDefault="005D5F69" w:rsidP="00F6679E">
            <w:pPr>
              <w:rPr>
                <w:rFonts w:ascii="Times New Roman" w:hAnsi="Times New Roman"/>
              </w:rPr>
            </w:pPr>
            <w:r w:rsidRPr="00BD63C1">
              <w:rPr>
                <w:rFonts w:ascii="Times New Roman" w:hAnsi="Times New Roman"/>
              </w:rPr>
              <w:t>31.08.2020г.</w:t>
            </w:r>
          </w:p>
        </w:tc>
        <w:tc>
          <w:tcPr>
            <w:tcW w:w="3260" w:type="dxa"/>
          </w:tcPr>
          <w:p w:rsidR="005D5F69" w:rsidRDefault="005D5F69" w:rsidP="00F66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5D5F69" w:rsidRDefault="005D5F69" w:rsidP="00F66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  <w:p w:rsidR="005D5F69" w:rsidRDefault="005D5F69" w:rsidP="00F66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____________С.В. Шулунова</w:t>
            </w:r>
          </w:p>
          <w:p w:rsidR="005D5F69" w:rsidRPr="004630B8" w:rsidRDefault="005D5F69" w:rsidP="00F66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31.08.2020г. № 218-ОД</w:t>
            </w:r>
          </w:p>
        </w:tc>
      </w:tr>
    </w:tbl>
    <w:p w:rsidR="005D5F69" w:rsidRDefault="005D5F69" w:rsidP="005D5F69"/>
    <w:p w:rsidR="005D5F69" w:rsidRDefault="005D5F69" w:rsidP="005D5F69"/>
    <w:p w:rsidR="005D5F69" w:rsidRDefault="005D5F69" w:rsidP="005D5F69">
      <w:pPr>
        <w:jc w:val="center"/>
        <w:rPr>
          <w:rFonts w:ascii="Times New Roman" w:hAnsi="Times New Roman"/>
          <w:b/>
        </w:rPr>
      </w:pPr>
    </w:p>
    <w:p w:rsidR="005D5F69" w:rsidRDefault="005D5F69" w:rsidP="005D5F69">
      <w:pPr>
        <w:jc w:val="center"/>
        <w:rPr>
          <w:rFonts w:ascii="Times New Roman" w:hAnsi="Times New Roman"/>
          <w:b/>
        </w:rPr>
      </w:pPr>
    </w:p>
    <w:p w:rsidR="005D5F69" w:rsidRDefault="005D5F69" w:rsidP="005D5F69">
      <w:pPr>
        <w:jc w:val="center"/>
        <w:rPr>
          <w:rFonts w:ascii="Times New Roman" w:hAnsi="Times New Roman"/>
          <w:b/>
        </w:rPr>
      </w:pPr>
    </w:p>
    <w:p w:rsidR="005D5F69" w:rsidRDefault="005D5F69" w:rsidP="005D5F69">
      <w:pPr>
        <w:jc w:val="center"/>
        <w:rPr>
          <w:rFonts w:ascii="Times New Roman" w:hAnsi="Times New Roman"/>
          <w:b/>
        </w:rPr>
      </w:pPr>
    </w:p>
    <w:p w:rsidR="005D5F69" w:rsidRDefault="005D5F69" w:rsidP="005D5F69">
      <w:pPr>
        <w:jc w:val="center"/>
        <w:rPr>
          <w:rFonts w:ascii="Times New Roman" w:hAnsi="Times New Roman"/>
          <w:b/>
        </w:rPr>
      </w:pPr>
      <w:r w:rsidRPr="003B31C6">
        <w:rPr>
          <w:rFonts w:ascii="Times New Roman" w:hAnsi="Times New Roman"/>
          <w:b/>
        </w:rPr>
        <w:t>РАБОЧАЯ  УЧЕБНАЯ ПРОГРАММА</w:t>
      </w:r>
    </w:p>
    <w:p w:rsidR="005D5F69" w:rsidRDefault="005D5F69" w:rsidP="005D5F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ИСТОРИИ</w:t>
      </w:r>
    </w:p>
    <w:p w:rsidR="005D5F69" w:rsidRDefault="005D5F69" w:rsidP="005D5F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класс</w:t>
      </w:r>
    </w:p>
    <w:p w:rsidR="005D5F69" w:rsidRDefault="005D5F69" w:rsidP="005D5F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Уровень, ступень образования: </w:t>
      </w:r>
      <w:r w:rsidRPr="00BD63C1">
        <w:rPr>
          <w:rFonts w:ascii="Times New Roman" w:hAnsi="Times New Roman"/>
          <w:u w:val="single"/>
        </w:rPr>
        <w:t>основное общее образование, 2 ст</w:t>
      </w:r>
      <w:r>
        <w:rPr>
          <w:rFonts w:ascii="Times New Roman" w:hAnsi="Times New Roman"/>
          <w:u w:val="single"/>
        </w:rPr>
        <w:t>у</w:t>
      </w:r>
      <w:r w:rsidRPr="00BD63C1">
        <w:rPr>
          <w:rFonts w:ascii="Times New Roman" w:hAnsi="Times New Roman"/>
          <w:u w:val="single"/>
        </w:rPr>
        <w:t>пень</w:t>
      </w:r>
    </w:p>
    <w:p w:rsidR="005D5F69" w:rsidRDefault="005D5F69" w:rsidP="005D5F6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Срок реализации: </w:t>
      </w:r>
      <w:r w:rsidRPr="00BD63C1">
        <w:rPr>
          <w:rFonts w:ascii="Times New Roman" w:hAnsi="Times New Roman"/>
          <w:u w:val="single"/>
        </w:rPr>
        <w:t>1 го</w:t>
      </w:r>
      <w:r>
        <w:rPr>
          <w:rFonts w:ascii="Times New Roman" w:hAnsi="Times New Roman"/>
          <w:u w:val="single"/>
        </w:rPr>
        <w:t>д</w:t>
      </w:r>
    </w:p>
    <w:p w:rsidR="005D5F69" w:rsidRDefault="005D5F69" w:rsidP="005D5F69">
      <w:pPr>
        <w:jc w:val="center"/>
        <w:rPr>
          <w:rFonts w:ascii="Times New Roman" w:hAnsi="Times New Roman"/>
          <w:u w:val="single"/>
        </w:rPr>
      </w:pPr>
    </w:p>
    <w:p w:rsidR="005D5F69" w:rsidRDefault="005D5F69" w:rsidP="005D5F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Составлена</w:t>
      </w:r>
    </w:p>
    <w:p w:rsidR="005D5F69" w:rsidRPr="00BD63C1" w:rsidRDefault="005D5F69" w:rsidP="005D5F69">
      <w:pPr>
        <w:spacing w:after="0" w:line="240" w:lineRule="auto"/>
        <w:rPr>
          <w:rFonts w:ascii="Times New Roman" w:hAnsi="Times New Roman"/>
          <w:b/>
        </w:rPr>
      </w:pPr>
      <w:r w:rsidRPr="00BD63C1">
        <w:rPr>
          <w:rFonts w:ascii="Times New Roman" w:hAnsi="Times New Roman"/>
          <w:b/>
        </w:rPr>
        <w:t>Шулуновой Стеллой Викторовной</w:t>
      </w:r>
    </w:p>
    <w:p w:rsidR="005D5F69" w:rsidRDefault="005D5F69" w:rsidP="005D5F69">
      <w:pPr>
        <w:jc w:val="center"/>
        <w:rPr>
          <w:rFonts w:ascii="Times New Roman" w:hAnsi="Times New Roman"/>
        </w:rPr>
      </w:pPr>
    </w:p>
    <w:p w:rsidR="005D5F69" w:rsidRDefault="005D5F69" w:rsidP="005D5F6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Малиновка</w:t>
      </w:r>
    </w:p>
    <w:p w:rsidR="005D5F69" w:rsidRDefault="005D5F69" w:rsidP="005D5F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г.</w:t>
      </w:r>
    </w:p>
    <w:p w:rsidR="005D5F69" w:rsidRDefault="005D5F69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5F69" w:rsidRDefault="005D5F69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bookmarkStart w:id="4" w:name="_GoBack"/>
      <w:bookmarkEnd w:id="4"/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6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A0262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A0262F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A0262F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A0262F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Олма-Пресс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sectPr w:rsidR="00BE3FE6" w:rsidRPr="00051189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D5F69"/>
    <w:rsid w:val="005F34A4"/>
    <w:rsid w:val="00633BB4"/>
    <w:rsid w:val="007904B1"/>
    <w:rsid w:val="007C1E3B"/>
    <w:rsid w:val="007D0973"/>
    <w:rsid w:val="008375E7"/>
    <w:rsid w:val="00842EA8"/>
    <w:rsid w:val="008D1066"/>
    <w:rsid w:val="008F0D5A"/>
    <w:rsid w:val="0097587C"/>
    <w:rsid w:val="00A0262F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622E9"/>
    <w:rsid w:val="00CA3FA9"/>
    <w:rsid w:val="00CB7F22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rYIzYYxY/B5Jb8giuE1jvu1jBaBb55E99f3pI5JQkfs=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xBoNOMtKuqy1MThIvmPlUYUdbCYv8c4YV+38kV1XsGvrTFFnj8omwXe6SzsXkUdN
8d7WwAiYfeYffTxFRu3/Yw==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airuaZCFOD4LSjrdg7bv33LP//Y=</DigestValue>
      </Reference>
      <Reference URI="/word/document.xml?ContentType=application/vnd.openxmlformats-officedocument.wordprocessingml.document.main+xml">
        <DigestMethod Algorithm="http://www.w3.org/2000/09/xmldsig#sha1"/>
        <DigestValue>CpCVLirCo8Zan295ECeWB3zLCQQ=</DigestValue>
      </Reference>
      <Reference URI="/word/fontTable.xml?ContentType=application/vnd.openxmlformats-officedocument.wordprocessingml.fontTable+xml">
        <DigestMethod Algorithm="http://www.w3.org/2000/09/xmldsig#sha1"/>
        <DigestValue>bHHrYpHXSxnIJ7SASvkcEhYtZlo=</DigestValue>
      </Reference>
      <Reference URI="/word/numbering.xml?ContentType=application/vnd.openxmlformats-officedocument.wordprocessingml.numbering+xml">
        <DigestMethod Algorithm="http://www.w3.org/2000/09/xmldsig#sha1"/>
        <DigestValue>P9NNpZWKOLnGv4e7ytT4KVX2BK4=</DigestValue>
      </Reference>
      <Reference URI="/word/settings.xml?ContentType=application/vnd.openxmlformats-officedocument.wordprocessingml.settings+xml">
        <DigestMethod Algorithm="http://www.w3.org/2000/09/xmldsig#sha1"/>
        <DigestValue>UezVcXqk+JmudlLS959mCe0o4f4=</DigestValue>
      </Reference>
      <Reference URI="/word/styles.xml?ContentType=application/vnd.openxmlformats-officedocument.wordprocessingml.styles+xml">
        <DigestMethod Algorithm="http://www.w3.org/2000/09/xmldsig#sha1"/>
        <DigestValue>Q1WG9g7L3dwVQ+eU0w+pBpXr9Fc=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333-1715-4881-B465-2BDF47B4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2021-03-27T10:48:00Z</dcterms:created>
  <dcterms:modified xsi:type="dcterms:W3CDTF">2021-03-27T10:48:00Z</dcterms:modified>
</cp:coreProperties>
</file>